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8B6A" w14:textId="77777777" w:rsidR="00760C51" w:rsidRDefault="00760C51" w:rsidP="00760C51">
      <w:pPr>
        <w:pStyle w:val="Cabealho"/>
        <w:spacing w:line="360" w:lineRule="auto"/>
        <w:jc w:val="center"/>
        <w:rPr>
          <w:rFonts w:ascii="Arial" w:hAnsi="Arial" w:cs="Arial"/>
          <w:b/>
          <w:noProof/>
          <w:lang w:val="pt-BR" w:eastAsia="pt-BR" w:bidi="ar-SA"/>
        </w:rPr>
      </w:pPr>
    </w:p>
    <w:p w14:paraId="3E092445" w14:textId="77777777" w:rsidR="00760C51" w:rsidRDefault="00760C51" w:rsidP="00760C51">
      <w:pPr>
        <w:pStyle w:val="Cabealho"/>
        <w:spacing w:line="360" w:lineRule="auto"/>
        <w:jc w:val="center"/>
        <w:rPr>
          <w:rFonts w:ascii="Arial" w:hAnsi="Arial" w:cs="Arial"/>
          <w:b/>
          <w:noProof/>
          <w:lang w:val="pt-BR" w:eastAsia="pt-BR" w:bidi="ar-SA"/>
        </w:rPr>
      </w:pPr>
    </w:p>
    <w:p w14:paraId="7FC13ED5" w14:textId="77777777" w:rsidR="00760C51" w:rsidRDefault="00760C51" w:rsidP="00760C51">
      <w:pPr>
        <w:pStyle w:val="Cabealho"/>
        <w:spacing w:line="360" w:lineRule="auto"/>
        <w:jc w:val="center"/>
        <w:rPr>
          <w:rFonts w:ascii="Arial" w:hAnsi="Arial" w:cs="Arial"/>
          <w:b/>
          <w:noProof/>
          <w:lang w:val="pt-BR" w:eastAsia="pt-BR" w:bidi="ar-SA"/>
        </w:rPr>
      </w:pPr>
      <w:r w:rsidRPr="005176A0">
        <w:rPr>
          <w:rFonts w:ascii="Arial" w:hAnsi="Arial" w:cs="Arial"/>
          <w:b/>
          <w:noProof/>
          <w:lang w:val="pt-BR" w:eastAsia="pt-BR" w:bidi="ar-SA"/>
        </w:rPr>
        <w:t>Comissão de Economia, Orçamento, Finanças e Fiscalização</w:t>
      </w:r>
    </w:p>
    <w:p w14:paraId="3394746E" w14:textId="77777777" w:rsidR="00760C51" w:rsidRDefault="00760C51" w:rsidP="00760C51">
      <w:pPr>
        <w:pStyle w:val="Cabealho"/>
        <w:spacing w:line="360" w:lineRule="auto"/>
        <w:jc w:val="center"/>
        <w:rPr>
          <w:rFonts w:ascii="Arial" w:hAnsi="Arial" w:cs="Arial"/>
          <w:b/>
          <w:noProof/>
          <w:lang w:val="pt-BR" w:eastAsia="pt-BR" w:bidi="ar-SA"/>
        </w:rPr>
      </w:pPr>
    </w:p>
    <w:p w14:paraId="61436DF6" w14:textId="77777777" w:rsidR="00760C51" w:rsidRDefault="00760C51" w:rsidP="00760C51">
      <w:pPr>
        <w:pStyle w:val="Cabealho"/>
        <w:spacing w:line="360" w:lineRule="auto"/>
        <w:jc w:val="center"/>
        <w:rPr>
          <w:rFonts w:ascii="Arial" w:hAnsi="Arial" w:cs="Arial"/>
          <w:b/>
          <w:noProof/>
          <w:lang w:val="pt-BR" w:eastAsia="pt-BR" w:bidi="ar-SA"/>
        </w:rPr>
      </w:pPr>
    </w:p>
    <w:p w14:paraId="2E1D3217" w14:textId="77777777" w:rsidR="00760C51" w:rsidRDefault="00760C51" w:rsidP="00760C5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44F5D3E9" wp14:editId="25CF729B">
            <wp:simplePos x="0" y="0"/>
            <wp:positionH relativeFrom="margin">
              <wp:align>right</wp:align>
            </wp:positionH>
            <wp:positionV relativeFrom="page">
              <wp:posOffset>2075180</wp:posOffset>
            </wp:positionV>
            <wp:extent cx="5396865" cy="753681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753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Parecer com relação com relação ao Projeto de Lei Ordinária nº 48/2023, que “Autoriza a abertura de crédito adicional suplementar na importância de R$ 750.167,57.” </w:t>
      </w:r>
    </w:p>
    <w:p w14:paraId="31176257" w14:textId="77777777" w:rsidR="00760C51" w:rsidRDefault="00760C51" w:rsidP="00760C51">
      <w:pPr>
        <w:spacing w:line="360" w:lineRule="auto"/>
        <w:ind w:firstLine="708"/>
        <w:jc w:val="both"/>
        <w:rPr>
          <w:rFonts w:ascii="Arial" w:hAnsi="Arial" w:cs="Arial"/>
        </w:rPr>
      </w:pPr>
      <w:r w:rsidRPr="00791AA7">
        <w:rPr>
          <w:rFonts w:ascii="Arial" w:hAnsi="Arial" w:cs="Arial"/>
        </w:rPr>
        <w:t>A Mensagem que encaminhou o Projeto em análise menciona que o crédito</w:t>
      </w:r>
      <w:r>
        <w:rPr>
          <w:rFonts w:ascii="Arial" w:hAnsi="Arial" w:cs="Arial"/>
        </w:rPr>
        <w:t xml:space="preserve"> </w:t>
      </w:r>
      <w:r w:rsidRPr="00791AA7">
        <w:rPr>
          <w:rFonts w:ascii="Arial" w:hAnsi="Arial" w:cs="Arial"/>
        </w:rPr>
        <w:t>adiciona</w:t>
      </w:r>
      <w:r>
        <w:rPr>
          <w:rFonts w:ascii="Arial" w:hAnsi="Arial" w:cs="Arial"/>
        </w:rPr>
        <w:t>l</w:t>
      </w:r>
      <w:r w:rsidRPr="00791AA7">
        <w:rPr>
          <w:rFonts w:ascii="Arial" w:hAnsi="Arial" w:cs="Arial"/>
        </w:rPr>
        <w:t xml:space="preserve"> pretendido </w:t>
      </w:r>
      <w:r>
        <w:rPr>
          <w:rFonts w:ascii="Arial" w:hAnsi="Arial" w:cs="Arial"/>
        </w:rPr>
        <w:t>tem por finalidade suprir a necessidade de</w:t>
      </w:r>
      <w:r w:rsidRPr="00791A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atender as situações de cirurgias eletivas que estão aguardando em fila de espera e também para as situações perenes. Tais valores serão descontados do repasse mensal devido ao Poder Legislativo, bem como da devolução de saldo não utilizado oriundo dos repasses já efetuados.</w:t>
      </w:r>
    </w:p>
    <w:p w14:paraId="6924701B" w14:textId="77777777" w:rsidR="00760C51" w:rsidRDefault="00760C51" w:rsidP="00760C5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o art. 41, inciso I da Lei 4.320/64, </w:t>
      </w:r>
      <w:r w:rsidRPr="00497DCB">
        <w:rPr>
          <w:rFonts w:ascii="Arial" w:hAnsi="Arial" w:cs="Arial"/>
        </w:rPr>
        <w:t xml:space="preserve">créditos adicionais </w:t>
      </w:r>
      <w:r>
        <w:rPr>
          <w:rFonts w:ascii="Arial" w:hAnsi="Arial" w:cs="Arial"/>
        </w:rPr>
        <w:t>suplementares são</w:t>
      </w:r>
      <w:r w:rsidRPr="00497DC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os destinados a reforço de dotação orçamentária</w:t>
      </w:r>
      <w:r>
        <w:rPr>
          <w:rFonts w:ascii="Arial" w:hAnsi="Arial" w:cs="Arial"/>
        </w:rPr>
        <w:t>. A abertura do referido crédito encontra-se amparada no inciso III do §1º do art. 43 da Lei nº 4.320/64, sendo sua cobertura resultante da anulação parcial ou total de dotações orçamentárias.</w:t>
      </w:r>
    </w:p>
    <w:p w14:paraId="35EDA71B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noProof/>
        </w:rPr>
        <w:drawing>
          <wp:anchor distT="0" distB="0" distL="114935" distR="114935" simplePos="0" relativeHeight="251663360" behindDoc="1" locked="0" layoutInCell="1" allowOverlap="1" wp14:anchorId="5EAB09F0" wp14:editId="62A920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7500" cy="7258050"/>
            <wp:effectExtent l="0" t="0" r="0" b="0"/>
            <wp:wrapNone/>
            <wp:docPr id="1135922655" name="Imagem 113592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25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Importante registrar que o crédito adicional pretendido tem por objetivo reforçar a dotação de Outros Serviços de Terceiros – Pessoa Jurídica na fonte 000 junto ao projeto</w:t>
      </w:r>
      <w:bookmarkStart w:id="0" w:name="OLE_LINK5"/>
      <w:bookmarkStart w:id="1" w:name="OLE_LINK6"/>
      <w:bookmarkStart w:id="2" w:name="OLE_LINK7"/>
      <w:r>
        <w:rPr>
          <w:rFonts w:ascii="Arial" w:hAnsi="Arial" w:cs="Arial"/>
        </w:rPr>
        <w:t>/atividade</w:t>
      </w:r>
      <w:bookmarkEnd w:id="0"/>
      <w:bookmarkEnd w:id="1"/>
      <w:bookmarkEnd w:id="2"/>
      <w:r>
        <w:rPr>
          <w:rFonts w:ascii="Arial" w:hAnsi="Arial" w:cs="Arial"/>
        </w:rPr>
        <w:t xml:space="preserve"> de “Manutenção do Programa de realização de cirurgias eletivas” da Secretaria Municipal de Saúde. </w:t>
      </w:r>
    </w:p>
    <w:p w14:paraId="793094D7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Para fazer frente ao referido reforço, estão sendo cancelados os recursos existentes nas dotações de Vencimentos e Vantagens Fixas - Pessoal Civil; Obrigações Patronais; Indenizações e Restituições Trabalhistas; Diárias – Pessoal Civil; Material de Consumo; Material, Bem ou Serviço para distribuição gratuita; Passagens e Despesas com Locomoção; Outras Despesas de Pessoal decorrentes de contratos de terceirização; Outros Serviços de Terceiros – Pessoa Física; Outros Serviços de Terceiros – Pessoa Jurídica; Serviços de Tecnologia da Informação e Comunicação – Pessoa Jurídica; Auxílio-Alimentação e Equipamentos e Material Permanente na fonte 001 no projeto/atividade de “Manutenção das Atividades Funcionais do Legislativo” junto ao Poder Legislativo.</w:t>
      </w:r>
      <w:r>
        <w:rPr>
          <w:noProof/>
        </w:rPr>
        <w:drawing>
          <wp:anchor distT="0" distB="0" distL="114935" distR="114935" simplePos="0" relativeHeight="251662336" behindDoc="1" locked="0" layoutInCell="1" allowOverlap="1" wp14:anchorId="0D5709DB" wp14:editId="5F21BF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7500" cy="7258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25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47364D8E" w14:textId="7B6174DC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935" distR="114935" simplePos="0" relativeHeight="251664384" behindDoc="1" locked="0" layoutInCell="1" allowOverlap="1" wp14:anchorId="2CC99E88" wp14:editId="4DD391CF">
            <wp:simplePos x="0" y="0"/>
            <wp:positionH relativeFrom="margin">
              <wp:posOffset>496824</wp:posOffset>
            </wp:positionH>
            <wp:positionV relativeFrom="margin">
              <wp:posOffset>60300</wp:posOffset>
            </wp:positionV>
            <wp:extent cx="5397500" cy="7258050"/>
            <wp:effectExtent l="0" t="0" r="0" b="0"/>
            <wp:wrapNone/>
            <wp:docPr id="452005370" name="Imagem 452005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25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  <w:t>Ante o exposto, salvo melhor entendimento, não se vislumbram vícios que impeçam o prosseguimento do referido Projeto.</w:t>
      </w:r>
    </w:p>
    <w:p w14:paraId="094A21EC" w14:textId="77777777" w:rsidR="00760C51" w:rsidRDefault="00760C51" w:rsidP="00760C5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C040C55" w14:textId="77777777" w:rsidR="00760C51" w:rsidRDefault="00760C51" w:rsidP="00760C5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parecer.</w:t>
      </w:r>
    </w:p>
    <w:p w14:paraId="425A2286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</w:p>
    <w:p w14:paraId="16EB3C15" w14:textId="29EDFE45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Telêmaco Borba, 1</w:t>
      </w:r>
      <w:r>
        <w:rPr>
          <w:rFonts w:ascii="Arial" w:hAnsi="Arial" w:cs="Arial"/>
        </w:rPr>
        <w:t>8</w:t>
      </w:r>
      <w:r w:rsidRPr="002D4B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dezembro de 2023.</w:t>
      </w:r>
    </w:p>
    <w:p w14:paraId="596CBD75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</w:p>
    <w:p w14:paraId="3BAD0473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</w:p>
    <w:p w14:paraId="77908C89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</w:t>
      </w:r>
      <w:r>
        <w:rPr>
          <w:noProof/>
        </w:rPr>
        <w:drawing>
          <wp:anchor distT="0" distB="0" distL="114935" distR="114935" simplePos="0" relativeHeight="251660288" behindDoc="1" locked="0" layoutInCell="1" allowOverlap="1" wp14:anchorId="3FB8F849" wp14:editId="3619DEFD">
            <wp:simplePos x="0" y="0"/>
            <wp:positionH relativeFrom="margin">
              <wp:posOffset>0</wp:posOffset>
            </wp:positionH>
            <wp:positionV relativeFrom="margin">
              <wp:posOffset>1050925</wp:posOffset>
            </wp:positionV>
            <wp:extent cx="5396230" cy="6239510"/>
            <wp:effectExtent l="0" t="0" r="0" b="8890"/>
            <wp:wrapNone/>
            <wp:docPr id="532802733" name="Imagem 53280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6239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___________________________</w:t>
      </w:r>
    </w:p>
    <w:p w14:paraId="7F6C5F06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Anderson Antunes                                         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</w:t>
      </w:r>
      <w:proofErr w:type="spellStart"/>
      <w:r>
        <w:rPr>
          <w:rFonts w:ascii="Arial" w:hAnsi="Arial" w:cs="Arial"/>
        </w:rPr>
        <w:t>Flenik</w:t>
      </w:r>
      <w:proofErr w:type="spellEnd"/>
    </w:p>
    <w:p w14:paraId="7B8661BC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Presidente                                                         Relator</w:t>
      </w:r>
    </w:p>
    <w:p w14:paraId="6D60738A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</w:p>
    <w:p w14:paraId="283D53EB" w14:textId="77777777" w:rsidR="00760C51" w:rsidRDefault="00760C51" w:rsidP="00760C51">
      <w:pPr>
        <w:spacing w:line="360" w:lineRule="auto"/>
        <w:jc w:val="both"/>
        <w:rPr>
          <w:rFonts w:ascii="Arial" w:hAnsi="Arial" w:cs="Arial"/>
        </w:rPr>
      </w:pPr>
    </w:p>
    <w:p w14:paraId="53C92FAB" w14:textId="77777777" w:rsidR="00760C51" w:rsidRDefault="00760C51" w:rsidP="00760C5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68369008" w14:textId="77777777" w:rsidR="00760C51" w:rsidRDefault="00760C51" w:rsidP="00760C5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Ezequiel </w:t>
      </w:r>
      <w:proofErr w:type="spellStart"/>
      <w:r>
        <w:rPr>
          <w:rFonts w:ascii="Arial" w:hAnsi="Arial" w:cs="Arial"/>
        </w:rPr>
        <w:t>Ligoski</w:t>
      </w:r>
      <w:proofErr w:type="spellEnd"/>
      <w:r>
        <w:rPr>
          <w:rFonts w:ascii="Arial" w:hAnsi="Arial" w:cs="Arial"/>
        </w:rPr>
        <w:t xml:space="preserve"> Betim</w:t>
      </w:r>
    </w:p>
    <w:p w14:paraId="104065BD" w14:textId="77777777" w:rsidR="00760C51" w:rsidRDefault="00760C51" w:rsidP="00760C51">
      <w:pPr>
        <w:spacing w:line="360" w:lineRule="auto"/>
        <w:jc w:val="center"/>
      </w:pPr>
      <w:r>
        <w:rPr>
          <w:rFonts w:ascii="Arial" w:hAnsi="Arial" w:cs="Arial"/>
        </w:rPr>
        <w:t>Vogal</w:t>
      </w:r>
    </w:p>
    <w:p w14:paraId="118BCD8B" w14:textId="77777777" w:rsidR="00760C51" w:rsidRDefault="00760C51" w:rsidP="00760C51"/>
    <w:p w14:paraId="3B5904B8" w14:textId="77777777" w:rsidR="00760C51" w:rsidRDefault="00760C51" w:rsidP="00760C51"/>
    <w:p w14:paraId="6116DBA9" w14:textId="77777777" w:rsidR="00760C51" w:rsidRDefault="00760C51" w:rsidP="00760C51"/>
    <w:p w14:paraId="108888A0" w14:textId="77777777" w:rsidR="00EB2F17" w:rsidRDefault="00EB2F17"/>
    <w:sectPr w:rsidR="00EB2F17" w:rsidSect="00FF4188">
      <w:headerReference w:type="default" r:id="rId5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AEB" w14:textId="77777777" w:rsidR="00000000" w:rsidRDefault="00000000" w:rsidP="00A5696F">
    <w:pPr>
      <w:tabs>
        <w:tab w:val="center" w:pos="4252"/>
        <w:tab w:val="right" w:pos="8504"/>
      </w:tabs>
      <w:jc w:val="center"/>
      <w:rPr>
        <w:rFonts w:ascii="Tahoma" w:hAnsi="Tahoma" w:cs="Tahoma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5BB59158" wp14:editId="5F95BB87">
          <wp:simplePos x="0" y="0"/>
          <wp:positionH relativeFrom="column">
            <wp:posOffset>177165</wp:posOffset>
          </wp:positionH>
          <wp:positionV relativeFrom="paragraph">
            <wp:posOffset>-47625</wp:posOffset>
          </wp:positionV>
          <wp:extent cx="712470" cy="779145"/>
          <wp:effectExtent l="0" t="0" r="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79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</w:rPr>
      <w:t>CÂMARA MUNICIPAL DE TELÊMACO BORBA</w:t>
    </w:r>
  </w:p>
  <w:p w14:paraId="38889607" w14:textId="77777777" w:rsidR="00000000" w:rsidRDefault="00000000" w:rsidP="00A5696F">
    <w:pPr>
      <w:tabs>
        <w:tab w:val="center" w:pos="4252"/>
        <w:tab w:val="right" w:pos="8504"/>
      </w:tabs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Alameda Oscar </w:t>
    </w:r>
    <w:proofErr w:type="spellStart"/>
    <w:r>
      <w:rPr>
        <w:rFonts w:ascii="Tahoma" w:hAnsi="Tahoma" w:cs="Tahoma"/>
      </w:rPr>
      <w:t>Hey</w:t>
    </w:r>
    <w:proofErr w:type="spellEnd"/>
    <w:r>
      <w:rPr>
        <w:rFonts w:ascii="Tahoma" w:hAnsi="Tahoma" w:cs="Tahoma"/>
      </w:rPr>
      <w:t>, 99 – Centro – CEP: 84261-640</w:t>
    </w:r>
  </w:p>
  <w:p w14:paraId="6AF06E45" w14:textId="77777777" w:rsidR="00000000" w:rsidRDefault="00000000" w:rsidP="00A5696F">
    <w:pPr>
      <w:tabs>
        <w:tab w:val="center" w:pos="4252"/>
        <w:tab w:val="right" w:pos="8504"/>
      </w:tabs>
      <w:jc w:val="center"/>
      <w:rPr>
        <w:rFonts w:ascii="Tahoma" w:hAnsi="Tahoma" w:cs="Tahoma"/>
      </w:rPr>
    </w:pPr>
    <w:r>
      <w:rPr>
        <w:rFonts w:ascii="Tahoma" w:hAnsi="Tahoma" w:cs="Tahoma"/>
      </w:rPr>
      <w:t>Fone: (42) 3272-1461 / Fax: (42) 3272-0147</w:t>
    </w:r>
  </w:p>
  <w:p w14:paraId="24C34434" w14:textId="77777777" w:rsidR="00000000" w:rsidRDefault="00000000" w:rsidP="00A5696F">
    <w:pPr>
      <w:pStyle w:val="Cabealho"/>
      <w:jc w:val="center"/>
      <w:rPr>
        <w:rStyle w:val="Hyperlink"/>
        <w:rFonts w:ascii="Tahoma" w:hAnsi="Tahoma" w:cs="Tahoma"/>
      </w:rPr>
    </w:pPr>
    <w:r>
      <w:rPr>
        <w:rFonts w:ascii="Tahoma" w:hAnsi="Tahoma" w:cs="Tahoma"/>
      </w:rPr>
      <w:t xml:space="preserve">E-mail: </w:t>
    </w:r>
    <w:hyperlink r:id="rId2" w:history="1">
      <w:r>
        <w:rPr>
          <w:rStyle w:val="Hyperlink"/>
          <w:rFonts w:ascii="Tahoma" w:hAnsi="Tahoma" w:cs="Tahoma"/>
        </w:rPr>
        <w:t>camara@telemacoborba.pr.leg.br</w:t>
      </w:r>
    </w:hyperlink>
  </w:p>
  <w:p w14:paraId="721C5189" w14:textId="77777777" w:rsidR="00000000" w:rsidRPr="000F38EF" w:rsidRDefault="00000000" w:rsidP="00A5696F">
    <w:pPr>
      <w:pStyle w:val="Cabealho"/>
      <w:jc w:val="cent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760C51"/>
    <w:rsid w:val="00E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1FE0"/>
  <w15:chartTrackingRefBased/>
  <w15:docId w15:val="{0CD0378E-8FE3-4B2B-B83E-A62E1F83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5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60C51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rsid w:val="00760C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60C51"/>
    <w:rPr>
      <w:rFonts w:ascii="Liberation Serif" w:eastAsia="SimSun" w:hAnsi="Liberation Serif" w:cs="Mangal"/>
      <w:kern w:val="1"/>
      <w:sz w:val="24"/>
      <w:szCs w:val="24"/>
      <w:lang w:val="x-none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telemacoborba.pr.leg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Telêmaco Borba</dc:creator>
  <cp:keywords/>
  <dc:description/>
  <cp:lastModifiedBy>Câmara Municipal de Telêmaco Borba</cp:lastModifiedBy>
  <cp:revision>1</cp:revision>
  <dcterms:created xsi:type="dcterms:W3CDTF">2023-12-18T17:51:00Z</dcterms:created>
  <dcterms:modified xsi:type="dcterms:W3CDTF">2023-12-18T17:53:00Z</dcterms:modified>
</cp:coreProperties>
</file>